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91BD" w14:textId="77777777" w:rsidR="00BA0797" w:rsidRPr="002A34D0" w:rsidRDefault="00000000">
      <w:pPr>
        <w:pStyle w:val="Heading1"/>
        <w:rPr>
          <w:rFonts w:ascii="Arial" w:hAnsi="Arial" w:cs="Arial"/>
          <w:color w:val="000000" w:themeColor="text1"/>
          <w:sz w:val="20"/>
          <w:szCs w:val="20"/>
        </w:rPr>
      </w:pPr>
      <w:r w:rsidRPr="002A34D0">
        <w:rPr>
          <w:rFonts w:ascii="Arial" w:hAnsi="Arial" w:cs="Arial"/>
          <w:color w:val="000000" w:themeColor="text1"/>
          <w:sz w:val="20"/>
          <w:szCs w:val="20"/>
        </w:rPr>
        <w:t>BREEZY VALLEY ESTATES</w:t>
      </w:r>
    </w:p>
    <w:p w14:paraId="74D5E735"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Restrictive Covenants and Use Guidelines</w:t>
      </w:r>
      <w:r w:rsidRPr="002A34D0">
        <w:rPr>
          <w:rFonts w:ascii="Arial" w:hAnsi="Arial" w:cs="Arial"/>
          <w:color w:val="000000" w:themeColor="text1"/>
          <w:sz w:val="20"/>
          <w:szCs w:val="20"/>
        </w:rPr>
        <w:br/>
        <w:t>Taylor Township, Greene County, Indiana</w:t>
      </w:r>
      <w:r w:rsidRPr="002A34D0">
        <w:rPr>
          <w:rFonts w:ascii="Arial" w:hAnsi="Arial" w:cs="Arial"/>
          <w:color w:val="000000" w:themeColor="text1"/>
          <w:sz w:val="20"/>
          <w:szCs w:val="20"/>
        </w:rPr>
        <w:br/>
        <w:t>Total Acreage: 234.4± Acres</w:t>
      </w:r>
    </w:p>
    <w:p w14:paraId="4D13DD81"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1. Purpose and Intent</w:t>
      </w:r>
    </w:p>
    <w:p w14:paraId="0E258472"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These covenants are established for the benefit of all tract owners within Breezy Valley Estates to preserve the natural beauty, rural character, and long-term value of the property. The following restrictions and responsibilities shall run with the land and shall be binding upon all present and future owners of tracts within Breezy Valley Estates.</w:t>
      </w:r>
    </w:p>
    <w:p w14:paraId="5056B014"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2. Subdivision of Property</w:t>
      </w:r>
    </w:p>
    <w:p w14:paraId="28ADBE9E"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The development consists of 10 tracts designated for single-family residential, recreational, and farming uses.</w:t>
      </w:r>
      <w:r w:rsidRPr="002A34D0">
        <w:rPr>
          <w:rFonts w:ascii="Arial" w:hAnsi="Arial" w:cs="Arial"/>
          <w:color w:val="000000" w:themeColor="text1"/>
          <w:sz w:val="20"/>
          <w:szCs w:val="20"/>
        </w:rPr>
        <w:br/>
      </w:r>
      <w:r w:rsidRPr="002A34D0">
        <w:rPr>
          <w:rFonts w:ascii="Arial" w:hAnsi="Arial" w:cs="Arial"/>
          <w:color w:val="000000" w:themeColor="text1"/>
          <w:sz w:val="20"/>
          <w:szCs w:val="20"/>
        </w:rPr>
        <w:br/>
        <w:t>• Tract #1 (110± acres) may be further subdivided into a total of six (6) tracts, each containing a minimum of 11 acres.</w:t>
      </w:r>
      <w:r w:rsidRPr="002A34D0">
        <w:rPr>
          <w:rFonts w:ascii="Arial" w:hAnsi="Arial" w:cs="Arial"/>
          <w:color w:val="000000" w:themeColor="text1"/>
          <w:sz w:val="20"/>
          <w:szCs w:val="20"/>
        </w:rPr>
        <w:br/>
        <w:t>• Any subdivision of Tract #1 must comply with all applicable local regulations and shall be subject to the same rights, restrictions, and responsibilities as the other tracts within Breezy Valley Estates.</w:t>
      </w:r>
    </w:p>
    <w:p w14:paraId="2C767496"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3. Residential Construction Standards</w:t>
      </w:r>
    </w:p>
    <w:p w14:paraId="57637961"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 All residences must be stick-built structures constructed on-site.</w:t>
      </w:r>
      <w:r w:rsidRPr="002A34D0">
        <w:rPr>
          <w:rFonts w:ascii="Arial" w:hAnsi="Arial" w:cs="Arial"/>
          <w:color w:val="000000" w:themeColor="text1"/>
          <w:sz w:val="20"/>
          <w:szCs w:val="20"/>
        </w:rPr>
        <w:br/>
        <w:t>• Setback Requirement: No residence shall be constructed within 50 feet of any property boundary.</w:t>
      </w:r>
      <w:r w:rsidRPr="002A34D0">
        <w:rPr>
          <w:rFonts w:ascii="Arial" w:hAnsi="Arial" w:cs="Arial"/>
          <w:color w:val="000000" w:themeColor="text1"/>
          <w:sz w:val="20"/>
          <w:szCs w:val="20"/>
        </w:rPr>
        <w:br/>
        <w:t>• The following types of housing are not permitted:</w:t>
      </w:r>
      <w:r w:rsidRPr="002A34D0">
        <w:rPr>
          <w:rFonts w:ascii="Arial" w:hAnsi="Arial" w:cs="Arial"/>
          <w:color w:val="000000" w:themeColor="text1"/>
          <w:sz w:val="20"/>
          <w:szCs w:val="20"/>
        </w:rPr>
        <w:br/>
        <w:t xml:space="preserve">  - Mobile homes</w:t>
      </w:r>
      <w:r w:rsidRPr="002A34D0">
        <w:rPr>
          <w:rFonts w:ascii="Arial" w:hAnsi="Arial" w:cs="Arial"/>
          <w:color w:val="000000" w:themeColor="text1"/>
          <w:sz w:val="20"/>
          <w:szCs w:val="20"/>
        </w:rPr>
        <w:br/>
        <w:t xml:space="preserve">  - Modular homes</w:t>
      </w:r>
      <w:r w:rsidRPr="002A34D0">
        <w:rPr>
          <w:rFonts w:ascii="Arial" w:hAnsi="Arial" w:cs="Arial"/>
          <w:color w:val="000000" w:themeColor="text1"/>
          <w:sz w:val="20"/>
          <w:szCs w:val="20"/>
        </w:rPr>
        <w:br/>
        <w:t xml:space="preserve">  - Multi-family dwellings</w:t>
      </w:r>
      <w:r w:rsidRPr="002A34D0">
        <w:rPr>
          <w:rFonts w:ascii="Arial" w:hAnsi="Arial" w:cs="Arial"/>
          <w:color w:val="000000" w:themeColor="text1"/>
          <w:sz w:val="20"/>
          <w:szCs w:val="20"/>
        </w:rPr>
        <w:br/>
        <w:t xml:space="preserve">  - Temporary residential structures</w:t>
      </w:r>
      <w:r w:rsidRPr="002A34D0">
        <w:rPr>
          <w:rFonts w:ascii="Arial" w:hAnsi="Arial" w:cs="Arial"/>
          <w:color w:val="000000" w:themeColor="text1"/>
          <w:sz w:val="20"/>
          <w:szCs w:val="20"/>
        </w:rPr>
        <w:br/>
        <w:t>• All utility lines, including electrical and communication services, must be installed underground.</w:t>
      </w:r>
    </w:p>
    <w:p w14:paraId="1E3464BE"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4. Temporary Occupancy</w:t>
      </w:r>
    </w:p>
    <w:p w14:paraId="5B099314"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 Travel trailers, campers, RVs, and tents are permitted for temporary or recreational occupancy only, such as weekend or seasonal use.</w:t>
      </w:r>
      <w:r w:rsidRPr="002A34D0">
        <w:rPr>
          <w:rFonts w:ascii="Arial" w:hAnsi="Arial" w:cs="Arial"/>
          <w:color w:val="000000" w:themeColor="text1"/>
          <w:sz w:val="20"/>
          <w:szCs w:val="20"/>
        </w:rPr>
        <w:br/>
        <w:t>• Continuous or full-time occupancy of such temporary structures is not permitted.</w:t>
      </w:r>
      <w:r w:rsidRPr="002A34D0">
        <w:rPr>
          <w:rFonts w:ascii="Arial" w:hAnsi="Arial" w:cs="Arial"/>
          <w:color w:val="000000" w:themeColor="text1"/>
          <w:sz w:val="20"/>
          <w:szCs w:val="20"/>
        </w:rPr>
        <w:br/>
        <w:t>• Any temporary dwelling must have sewage properly collected in a holding tank and disposed of in accordance with state and local regulations.</w:t>
      </w:r>
    </w:p>
    <w:p w14:paraId="195C601A"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5. Agricultural and Livestock Use</w:t>
      </w:r>
    </w:p>
    <w:p w14:paraId="07DF8643" w14:textId="3E877E80"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 Farming and agricultural activities are permitted for personal or non-commercial use.</w:t>
      </w:r>
      <w:r w:rsidRPr="002A34D0">
        <w:rPr>
          <w:rFonts w:ascii="Arial" w:hAnsi="Arial" w:cs="Arial"/>
          <w:color w:val="000000" w:themeColor="text1"/>
          <w:sz w:val="20"/>
          <w:szCs w:val="20"/>
        </w:rPr>
        <w:br/>
        <w:t>• Livestock may be maintained in quantities suitable for personal use and consistent with good husbandry practices.</w:t>
      </w:r>
      <w:r w:rsidRPr="002A34D0">
        <w:rPr>
          <w:rFonts w:ascii="Arial" w:hAnsi="Arial" w:cs="Arial"/>
          <w:color w:val="000000" w:themeColor="text1"/>
          <w:sz w:val="20"/>
          <w:szCs w:val="20"/>
        </w:rPr>
        <w:br/>
        <w:t>• industrial livestock operations are not permitted.</w:t>
      </w:r>
    </w:p>
    <w:p w14:paraId="252E7063"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6. Commercial and Industrial Activity</w:t>
      </w:r>
    </w:p>
    <w:p w14:paraId="019A5AB6"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 No industrial or commercial enterprises shall be conducted on any tract.</w:t>
      </w:r>
      <w:r w:rsidRPr="002A34D0">
        <w:rPr>
          <w:rFonts w:ascii="Arial" w:hAnsi="Arial" w:cs="Arial"/>
          <w:color w:val="000000" w:themeColor="text1"/>
          <w:sz w:val="20"/>
          <w:szCs w:val="20"/>
        </w:rPr>
        <w:br/>
        <w:t>• Home-based businesses and working from home are permitted, provided such activities:</w:t>
      </w:r>
      <w:r w:rsidRPr="002A34D0">
        <w:rPr>
          <w:rFonts w:ascii="Arial" w:hAnsi="Arial" w:cs="Arial"/>
          <w:color w:val="000000" w:themeColor="text1"/>
          <w:sz w:val="20"/>
          <w:szCs w:val="20"/>
        </w:rPr>
        <w:br/>
      </w:r>
      <w:r w:rsidRPr="002A34D0">
        <w:rPr>
          <w:rFonts w:ascii="Arial" w:hAnsi="Arial" w:cs="Arial"/>
          <w:color w:val="000000" w:themeColor="text1"/>
          <w:sz w:val="20"/>
          <w:szCs w:val="20"/>
        </w:rPr>
        <w:lastRenderedPageBreak/>
        <w:t xml:space="preserve">  - Do not create excessive traffic, noise, or nuisance to adjoining properties.</w:t>
      </w:r>
      <w:r w:rsidRPr="002A34D0">
        <w:rPr>
          <w:rFonts w:ascii="Arial" w:hAnsi="Arial" w:cs="Arial"/>
          <w:color w:val="000000" w:themeColor="text1"/>
          <w:sz w:val="20"/>
          <w:szCs w:val="20"/>
        </w:rPr>
        <w:br/>
        <w:t xml:space="preserve">  - Remain secondary to the residential use of the property.</w:t>
      </w:r>
    </w:p>
    <w:p w14:paraId="1996BC4E"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7. Access Roads and Easements</w:t>
      </w:r>
    </w:p>
    <w:p w14:paraId="46C2BB0D"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Access roads are established for:</w:t>
      </w:r>
      <w:r w:rsidRPr="002A34D0">
        <w:rPr>
          <w:rFonts w:ascii="Arial" w:hAnsi="Arial" w:cs="Arial"/>
          <w:color w:val="000000" w:themeColor="text1"/>
          <w:sz w:val="20"/>
          <w:szCs w:val="20"/>
        </w:rPr>
        <w:br/>
        <w:t>• Ingress and egress by all tract owners.</w:t>
      </w:r>
      <w:r w:rsidRPr="002A34D0">
        <w:rPr>
          <w:rFonts w:ascii="Arial" w:hAnsi="Arial" w:cs="Arial"/>
          <w:color w:val="000000" w:themeColor="text1"/>
          <w:sz w:val="20"/>
          <w:szCs w:val="20"/>
        </w:rPr>
        <w:br/>
        <w:t>• Installation and maintenance of utilities.</w:t>
      </w:r>
      <w:r w:rsidRPr="002A34D0">
        <w:rPr>
          <w:rFonts w:ascii="Arial" w:hAnsi="Arial" w:cs="Arial"/>
          <w:color w:val="000000" w:themeColor="text1"/>
          <w:sz w:val="20"/>
          <w:szCs w:val="20"/>
        </w:rPr>
        <w:br/>
        <w:t>• Access by service providers, emergency personnel, deliveries, and guests.</w:t>
      </w:r>
      <w:r w:rsidRPr="002A34D0">
        <w:rPr>
          <w:rFonts w:ascii="Arial" w:hAnsi="Arial" w:cs="Arial"/>
          <w:color w:val="000000" w:themeColor="text1"/>
          <w:sz w:val="20"/>
          <w:szCs w:val="20"/>
        </w:rPr>
        <w:br/>
      </w:r>
      <w:r w:rsidRPr="002A34D0">
        <w:rPr>
          <w:rFonts w:ascii="Arial" w:hAnsi="Arial" w:cs="Arial"/>
          <w:color w:val="000000" w:themeColor="text1"/>
          <w:sz w:val="20"/>
          <w:szCs w:val="20"/>
        </w:rPr>
        <w:br/>
        <w:t>Access roads originate from Scotland Road, extending to Tracts #1 and #7, and providing continued access to Tracts #2 and #3.</w:t>
      </w:r>
    </w:p>
    <w:p w14:paraId="378EC856"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8. Road Maintenance Responsibilities</w:t>
      </w:r>
    </w:p>
    <w:p w14:paraId="7BA86EF8"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 All tract owners shall share equally in the cost of maintenance and repair of shared access roads.</w:t>
      </w:r>
      <w:r w:rsidRPr="002A34D0">
        <w:rPr>
          <w:rFonts w:ascii="Arial" w:hAnsi="Arial" w:cs="Arial"/>
          <w:color w:val="000000" w:themeColor="text1"/>
          <w:sz w:val="20"/>
          <w:szCs w:val="20"/>
        </w:rPr>
        <w:br/>
        <w:t>• Any tract owner may, at their own expense, perform maintenance or improvement work to enhance road conditions.</w:t>
      </w:r>
      <w:r w:rsidRPr="002A34D0">
        <w:rPr>
          <w:rFonts w:ascii="Arial" w:hAnsi="Arial" w:cs="Arial"/>
          <w:color w:val="000000" w:themeColor="text1"/>
          <w:sz w:val="20"/>
          <w:szCs w:val="20"/>
        </w:rPr>
        <w:br/>
        <w:t>• Each tract owner is responsible for keeping their portion of the road clear and passable, including the removal of obstructions such as fallen trees or debris.</w:t>
      </w:r>
      <w:r w:rsidRPr="002A34D0">
        <w:rPr>
          <w:rFonts w:ascii="Arial" w:hAnsi="Arial" w:cs="Arial"/>
          <w:color w:val="000000" w:themeColor="text1"/>
          <w:sz w:val="20"/>
          <w:szCs w:val="20"/>
        </w:rPr>
        <w:br/>
        <w:t>• Any tract owner may voluntarily clear obstructions anywhere along the access road to maintain accessibility for all.</w:t>
      </w:r>
      <w:r w:rsidRPr="002A34D0">
        <w:rPr>
          <w:rFonts w:ascii="Arial" w:hAnsi="Arial" w:cs="Arial"/>
          <w:color w:val="000000" w:themeColor="text1"/>
          <w:sz w:val="20"/>
          <w:szCs w:val="20"/>
        </w:rPr>
        <w:br/>
        <w:t>• No tract owner shall block, restrict, or interfere with the lawful use of the access roads by others.</w:t>
      </w:r>
    </w:p>
    <w:p w14:paraId="07B6173C"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9. Enforcement and Duration</w:t>
      </w:r>
    </w:p>
    <w:p w14:paraId="6FA604ED"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These covenants shall run with the land and remain in full force and effect unless amended by a written instrument signed by a majority of tract owners and properly recorded in Greene County, Indiana. Violations may be subject to equitable relief, including injunction or enforcement actions by other tract owners or their assigns.</w:t>
      </w:r>
    </w:p>
    <w:p w14:paraId="4F17F7C6"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10. Severability</w:t>
      </w:r>
    </w:p>
    <w:p w14:paraId="6589548C"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If any provision of these restrictions is held invalid or unenforceable, such invalidity shall not affect the remaining provisions, which shall remain in full force and effect.</w:t>
      </w:r>
    </w:p>
    <w:p w14:paraId="607D7518" w14:textId="77777777" w:rsidR="00BA0797" w:rsidRPr="002A34D0" w:rsidRDefault="00000000">
      <w:pPr>
        <w:pStyle w:val="Heading2"/>
        <w:rPr>
          <w:rFonts w:ascii="Arial" w:hAnsi="Arial" w:cs="Arial"/>
          <w:color w:val="000000" w:themeColor="text1"/>
          <w:sz w:val="20"/>
          <w:szCs w:val="20"/>
        </w:rPr>
      </w:pPr>
      <w:r w:rsidRPr="002A34D0">
        <w:rPr>
          <w:rFonts w:ascii="Arial" w:hAnsi="Arial" w:cs="Arial"/>
          <w:color w:val="000000" w:themeColor="text1"/>
          <w:sz w:val="20"/>
          <w:szCs w:val="20"/>
        </w:rPr>
        <w:t>Acknowledgment</w:t>
      </w:r>
    </w:p>
    <w:p w14:paraId="48020BAF"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t>These restrictions are established to maintain the integrity and intended use of Breezy Valley Estates. All tract owners agree to abide by the foregoing covenants and to ensure their continued observance by future owners, tenants, and assigns.</w:t>
      </w:r>
    </w:p>
    <w:p w14:paraId="11871CFB" w14:textId="77777777" w:rsidR="00BA0797" w:rsidRPr="002A34D0" w:rsidRDefault="00000000">
      <w:pPr>
        <w:rPr>
          <w:rFonts w:ascii="Arial" w:hAnsi="Arial" w:cs="Arial"/>
          <w:color w:val="000000" w:themeColor="text1"/>
          <w:sz w:val="20"/>
          <w:szCs w:val="20"/>
        </w:rPr>
      </w:pPr>
      <w:r w:rsidRPr="002A34D0">
        <w:rPr>
          <w:rFonts w:ascii="Arial" w:hAnsi="Arial" w:cs="Arial"/>
          <w:color w:val="000000" w:themeColor="text1"/>
          <w:sz w:val="20"/>
          <w:szCs w:val="20"/>
        </w:rPr>
        <w:br/>
        <w:t>______________________________</w:t>
      </w:r>
      <w:r w:rsidRPr="002A34D0">
        <w:rPr>
          <w:rFonts w:ascii="Arial" w:hAnsi="Arial" w:cs="Arial"/>
          <w:color w:val="000000" w:themeColor="text1"/>
          <w:sz w:val="20"/>
          <w:szCs w:val="20"/>
        </w:rPr>
        <w:br/>
        <w:t>Owner Signature</w:t>
      </w:r>
      <w:r w:rsidRPr="002A34D0">
        <w:rPr>
          <w:rFonts w:ascii="Arial" w:hAnsi="Arial" w:cs="Arial"/>
          <w:color w:val="000000" w:themeColor="text1"/>
          <w:sz w:val="20"/>
          <w:szCs w:val="20"/>
        </w:rPr>
        <w:br/>
      </w:r>
      <w:r w:rsidRPr="002A34D0">
        <w:rPr>
          <w:rFonts w:ascii="Arial" w:hAnsi="Arial" w:cs="Arial"/>
          <w:color w:val="000000" w:themeColor="text1"/>
          <w:sz w:val="20"/>
          <w:szCs w:val="20"/>
        </w:rPr>
        <w:br/>
        <w:t>______________________________</w:t>
      </w:r>
      <w:r w:rsidRPr="002A34D0">
        <w:rPr>
          <w:rFonts w:ascii="Arial" w:hAnsi="Arial" w:cs="Arial"/>
          <w:color w:val="000000" w:themeColor="text1"/>
          <w:sz w:val="20"/>
          <w:szCs w:val="20"/>
        </w:rPr>
        <w:br/>
        <w:t>Date</w:t>
      </w:r>
      <w:r w:rsidRPr="002A34D0">
        <w:rPr>
          <w:rFonts w:ascii="Arial" w:hAnsi="Arial" w:cs="Arial"/>
          <w:color w:val="000000" w:themeColor="text1"/>
          <w:sz w:val="20"/>
          <w:szCs w:val="20"/>
        </w:rPr>
        <w:br/>
      </w:r>
    </w:p>
    <w:sectPr w:rsidR="00BA0797" w:rsidRPr="002A34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3015246">
    <w:abstractNumId w:val="8"/>
  </w:num>
  <w:num w:numId="2" w16cid:durableId="1147359555">
    <w:abstractNumId w:val="6"/>
  </w:num>
  <w:num w:numId="3" w16cid:durableId="1950235348">
    <w:abstractNumId w:val="5"/>
  </w:num>
  <w:num w:numId="4" w16cid:durableId="989402459">
    <w:abstractNumId w:val="4"/>
  </w:num>
  <w:num w:numId="5" w16cid:durableId="277765611">
    <w:abstractNumId w:val="7"/>
  </w:num>
  <w:num w:numId="6" w16cid:durableId="1002124993">
    <w:abstractNumId w:val="3"/>
  </w:num>
  <w:num w:numId="7" w16cid:durableId="209921563">
    <w:abstractNumId w:val="2"/>
  </w:num>
  <w:num w:numId="8" w16cid:durableId="858158078">
    <w:abstractNumId w:val="1"/>
  </w:num>
  <w:num w:numId="9" w16cid:durableId="39331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34D0"/>
    <w:rsid w:val="00326F90"/>
    <w:rsid w:val="00AA1D8D"/>
    <w:rsid w:val="00B47730"/>
    <w:rsid w:val="00BA0797"/>
    <w:rsid w:val="00CB0664"/>
    <w:rsid w:val="00E420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99C43"/>
  <w14:defaultImageDpi w14:val="300"/>
  <w15:docId w15:val="{FA386716-19DB-C84C-AA70-B25AB049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Gizdic</cp:lastModifiedBy>
  <cp:revision>2</cp:revision>
  <dcterms:created xsi:type="dcterms:W3CDTF">2025-10-16T01:45:00Z</dcterms:created>
  <dcterms:modified xsi:type="dcterms:W3CDTF">2025-10-16T01:45:00Z</dcterms:modified>
  <cp:category/>
</cp:coreProperties>
</file>